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Spectral" w:cs="Spectral" w:eastAsia="Spectral" w:hAnsi="Spectral"/>
          <w:b w:val="1"/>
          <w:sz w:val="40"/>
          <w:szCs w:val="40"/>
        </w:rPr>
      </w:pPr>
      <w:bookmarkStart w:colFirst="0" w:colLast="0" w:name="_ji33r8tc2h0d" w:id="0"/>
      <w:bookmarkEnd w:id="0"/>
      <w:r w:rsidDel="00000000" w:rsidR="00000000" w:rsidRPr="00000000">
        <w:rPr>
          <w:rFonts w:ascii="Spectral" w:cs="Spectral" w:eastAsia="Spectral" w:hAnsi="Spectral"/>
          <w:sz w:val="28"/>
          <w:szCs w:val="28"/>
          <w:rtl w:val="0"/>
        </w:rPr>
        <w:t xml:space="preserve">katedra</w:t>
      </w: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 xml:space="preserve">PRAVIDLA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Na starosti ji má Vrána, Tynus.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Kompetence katedry:</w:t>
      </w:r>
    </w:p>
    <w:tbl>
      <w:tblPr>
        <w:tblStyle w:val="Table1"/>
        <w:tblW w:w="690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6420"/>
        <w:tblGridChange w:id="0">
          <w:tblGrid>
            <w:gridCol w:w="480"/>
            <w:gridCol w:w="642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kdy a za jaké jednání nese jako vedoucí oddílu právní odpovědnost. Rozumí principům trestněprávní a občanskoprávní odpovědnosti. Rozumí principům delegace úkolů a odpovědnosti v rámci střediska a oddílu.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Znáš pojmy trestněprávní a občanskoprávní odpovědnost?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Umíš uvést příklad, za co je vedoucí oddílu právně odpovědný?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Zná práva dětí a ví, jak organizovat činnost oddílu v souladu s těmito právy.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 jakých dokumentech jsou práva dětí řešena?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Dokážeš říct nějaké právo dítěte?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Zná základní obsah důležitých ustanovení zákonů relevantních pro běžnou skautskou činnost. Ví, kde dohledat podrobnosti.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Jaké zákony se týkají skautské činnosti? A které jejich části?</w:t>
              <w:br w:type="textWrapping"/>
              <w:t xml:space="preserve">Co se v nich řeší?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Zná základní předpisy Junáka i své jednotky, které se týkají oddílové činnosti. Dokáže pracovat se SkautISem.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Máš účet ve SkautIS a víš, jak si tam zkontrolovat svou Gemini přihlášku?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Tušíš, kde najdeš informace o tom, jak vyúčtovat výpravu?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kde najít nabídku podpůrných nástrojů nabízených ústředím a dovede je využívat.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Znáš web casopisy.skaut.cz nebo krizovatka.skaut.cz?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co tam najít, a tušíš trošku kde?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Rozumí základní organizační struktuře Junáka. Zná obsah Stanov Junáka a dalších základních předpisů. Ví, jak funguje středisko a jeho orgány.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Oddíl, ZOJ, VOJ, KRJ, VRJ, NJ → rozumíš, o čem tyhle zkratky jsou?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co dělá středisková rada, sněm či revizní komise? 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Zná základní informace o svém středisku (plný název, sídlo, důležité činovníky).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Zná požadavky svého střediska na oddíl a umí zajistit jejich splnění. Chápe, proč je vedoucí oddílu součástí střediskové rady.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jak to u vás ve středisku je a funguje?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-9524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bych se chtěl/a věnovat já jako vůdce/ vůdkyně oddílu?</w:t>
      </w:r>
    </w:p>
    <w:p w:rsidR="00000000" w:rsidDel="00000000" w:rsidP="00000000" w:rsidRDefault="00000000" w:rsidRPr="00000000" w14:paraId="0000002C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se na kurzu věnovat nepotřebuji (jsem v nich už dostatečně dobrý/á, nezajímají mě, …)?</w:t>
      </w:r>
    </w:p>
    <w:p w:rsidR="00000000" w:rsidDel="00000000" w:rsidP="00000000" w:rsidRDefault="00000000" w:rsidRPr="00000000" w14:paraId="00000033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851.811023622048" w:top="1133.8582677165355" w:left="850.3937007874016" w:right="608.385826771655" w:header="720" w:footer="720"/>
      <w:pgNumType w:start="1"/>
      <w:cols w:equalWidth="0" w:num="2">
        <w:col w:space="1277.85" w:w="7050.58"/>
        <w:col w:space="0" w:w="705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