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0"/>
        <w:gridCol w:w="7938"/>
      </w:tblGrid>
      <w:tr w:rsidR="00A05F86" w:rsidRPr="00550953" w:rsidTr="008337C4">
        <w:trPr>
          <w:trHeight w:val="613"/>
        </w:trPr>
        <w:tc>
          <w:tcPr>
            <w:tcW w:w="2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8337C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proofErr w:type="gramStart"/>
            <w:r w:rsidRPr="00550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  Á  B  O  Ř  I  Š  T  Ě</w:t>
            </w:r>
            <w:proofErr w:type="gramEnd"/>
          </w:p>
        </w:tc>
        <w:tc>
          <w:tcPr>
            <w:tcW w:w="79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42024D" w:rsidRDefault="0042024D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Hradčany u Mimoně</w:t>
            </w:r>
          </w:p>
        </w:tc>
      </w:tr>
    </w:tbl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proofErr w:type="gramStart"/>
      <w:r w:rsidRPr="00550953">
        <w:rPr>
          <w:rFonts w:ascii="Calibri" w:eastAsia="Times New Roman" w:hAnsi="Calibri" w:cs="Times New Roman"/>
          <w:b/>
          <w:bCs/>
          <w:color w:val="006600"/>
          <w:sz w:val="28"/>
          <w:szCs w:val="28"/>
          <w:lang w:eastAsia="cs-CZ"/>
        </w:rPr>
        <w:t>KDE ?</w:t>
      </w:r>
      <w:proofErr w:type="gramEnd"/>
      <w:r w:rsidRPr="00550953">
        <w:rPr>
          <w:rFonts w:ascii="Calibri" w:eastAsia="Times New Roman" w:hAnsi="Calibri" w:cs="Times New Roman"/>
          <w:b/>
          <w:bCs/>
          <w:color w:val="006600"/>
          <w:sz w:val="28"/>
          <w:szCs w:val="28"/>
          <w:lang w:eastAsia="cs-CZ"/>
        </w:rPr>
        <w:t xml:space="preserve"> </w:t>
      </w:r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0"/>
        <w:gridCol w:w="7938"/>
      </w:tblGrid>
      <w:tr w:rsidR="00A05F86" w:rsidRPr="00550953" w:rsidTr="005C52BF">
        <w:tc>
          <w:tcPr>
            <w:tcW w:w="2870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GPS souřadnice</w:t>
            </w:r>
          </w:p>
        </w:tc>
        <w:tc>
          <w:tcPr>
            <w:tcW w:w="7938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381002" w:rsidRDefault="00381002" w:rsidP="00381002">
            <w:pPr>
              <w:shd w:val="clear" w:color="auto" w:fill="FFFFFF"/>
              <w:spacing w:after="0" w:line="322" w:lineRule="atLeast"/>
              <w:outlineLvl w:val="0"/>
              <w:rPr>
                <w:rFonts w:ascii="Arial" w:eastAsia="Times New Roman" w:hAnsi="Arial" w:cs="Arial"/>
                <w:bCs/>
                <w:color w:val="000000"/>
                <w:kern w:val="36"/>
                <w:sz w:val="30"/>
                <w:szCs w:val="30"/>
                <w:lang w:eastAsia="cs-CZ"/>
              </w:rPr>
            </w:pPr>
            <w:r w:rsidRPr="00381002">
              <w:rPr>
                <w:rFonts w:ascii="Arial" w:eastAsia="Times New Roman" w:hAnsi="Arial" w:cs="Arial"/>
                <w:bCs/>
                <w:color w:val="000000"/>
                <w:kern w:val="36"/>
                <w:sz w:val="30"/>
                <w:szCs w:val="30"/>
                <w:lang w:eastAsia="cs-CZ"/>
              </w:rPr>
              <w:t>50°37'31.472"N, 14°42'13.511"E</w:t>
            </w:r>
          </w:p>
        </w:tc>
      </w:tr>
      <w:tr w:rsidR="00A05F86" w:rsidRPr="00550953" w:rsidTr="005C52BF">
        <w:tc>
          <w:tcPr>
            <w:tcW w:w="2870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Kraj / okres</w:t>
            </w:r>
          </w:p>
        </w:tc>
        <w:tc>
          <w:tcPr>
            <w:tcW w:w="7938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381002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Liberecký/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Ralsko</w:t>
            </w:r>
            <w:proofErr w:type="spellEnd"/>
          </w:p>
        </w:tc>
      </w:tr>
    </w:tbl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483F1D" w:rsidRPr="00550953" w:rsidRDefault="00483F1D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550953">
        <w:rPr>
          <w:rFonts w:ascii="Calibri" w:eastAsia="Times New Roman" w:hAnsi="Calibri" w:cs="Times New Roman"/>
          <w:sz w:val="28"/>
          <w:szCs w:val="28"/>
          <w:lang w:eastAsia="cs-CZ"/>
        </w:rPr>
        <w:t>Mapka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1"/>
        <w:gridCol w:w="6582"/>
      </w:tblGrid>
      <w:tr w:rsidR="00A05F86" w:rsidRPr="00550953" w:rsidTr="00483F1D">
        <w:trPr>
          <w:trHeight w:val="11789"/>
        </w:trPr>
        <w:tc>
          <w:tcPr>
            <w:tcW w:w="10808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F12D37" w:rsidP="00D21839">
            <w:pPr>
              <w:rPr>
                <w:rFonts w:ascii="Calibri" w:hAnsi="Calibri"/>
                <w:sz w:val="28"/>
                <w:szCs w:val="28"/>
              </w:rPr>
            </w:pPr>
            <w:r w:rsidRPr="00F12D3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.4pt;margin-top:77.3pt;width:537.8pt;height:274.25pt;z-index:251660288">
                  <v:imagedata r:id="rId5" o:title=""/>
                  <w10:wrap type="square"/>
                </v:shape>
                <o:OLEObject Type="Embed" ProgID="PBrush" ShapeID="_x0000_s1027" DrawAspect="Content" ObjectID="_1558176669" r:id="rId6"/>
              </w:pict>
            </w:r>
          </w:p>
        </w:tc>
      </w:tr>
      <w:tr w:rsidR="00A05F86" w:rsidRPr="00550953" w:rsidTr="009B20A6">
        <w:trPr>
          <w:trHeight w:val="635"/>
        </w:trPr>
        <w:tc>
          <w:tcPr>
            <w:tcW w:w="3863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36008E" w:rsidP="005C52B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lastRenderedPageBreak/>
              <w:t>Kapacita</w:t>
            </w:r>
          </w:p>
        </w:tc>
        <w:tc>
          <w:tcPr>
            <w:tcW w:w="6945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D21839" w:rsidP="008337C4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15-25</w:t>
            </w:r>
            <w:r w:rsidR="001C47A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 osob</w:t>
            </w:r>
          </w:p>
          <w:p w:rsidR="008337C4" w:rsidRPr="00550953" w:rsidRDefault="008337C4" w:rsidP="008337C4">
            <w:pPr>
              <w:spacing w:after="0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05F86" w:rsidRPr="00550953" w:rsidTr="009B20A6">
        <w:trPr>
          <w:trHeight w:val="635"/>
        </w:trPr>
        <w:tc>
          <w:tcPr>
            <w:tcW w:w="3863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Popis blízké</w:t>
            </w:r>
            <w:r w:rsidR="0036008E"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ho okolí</w:t>
            </w:r>
          </w:p>
        </w:tc>
        <w:tc>
          <w:tcPr>
            <w:tcW w:w="6945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8337C4" w:rsidRPr="00550953" w:rsidRDefault="00D21839" w:rsidP="00D2183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Velká louka na hry (rovinatá), přilehlí les ze začátku kopec následně poměrně rovina</w:t>
            </w:r>
            <w:r w:rsidR="001C47A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. Pokud se vydáte dál po žluté cestě přes mostek tak je tam velmi vhodný les na velkou terénní hru.</w:t>
            </w:r>
          </w:p>
        </w:tc>
      </w:tr>
      <w:tr w:rsidR="00A05F86" w:rsidRPr="00550953" w:rsidTr="009B20A6">
        <w:trPr>
          <w:trHeight w:val="635"/>
        </w:trPr>
        <w:tc>
          <w:tcPr>
            <w:tcW w:w="3863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Zajímavo</w:t>
            </w:r>
            <w:r w:rsidR="0036008E"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sti v širším okolí </w:t>
            </w:r>
          </w:p>
        </w:tc>
        <w:tc>
          <w:tcPr>
            <w:tcW w:w="6945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D21839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Jeskyně,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Minizoo</w:t>
            </w:r>
            <w:proofErr w:type="spellEnd"/>
            <w:r w:rsidR="005B18B6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, Letiště Hradčany</w:t>
            </w:r>
          </w:p>
          <w:p w:rsidR="008337C4" w:rsidRPr="00550953" w:rsidRDefault="008337C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05F86" w:rsidRPr="00550953" w:rsidTr="009B20A6">
        <w:trPr>
          <w:trHeight w:val="635"/>
        </w:trPr>
        <w:tc>
          <w:tcPr>
            <w:tcW w:w="3863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Co je v mapě jinak než v realitě</w:t>
            </w:r>
          </w:p>
        </w:tc>
        <w:tc>
          <w:tcPr>
            <w:tcW w:w="6945" w:type="dxa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D21839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Žádné bažiny tam nejsou </w:t>
            </w:r>
          </w:p>
          <w:p w:rsidR="008337C4" w:rsidRPr="00550953" w:rsidRDefault="008337C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proofErr w:type="gramStart"/>
      <w:r w:rsidRPr="00550953">
        <w:rPr>
          <w:rFonts w:ascii="Calibri" w:eastAsia="Times New Roman" w:hAnsi="Calibri" w:cs="Times New Roman"/>
          <w:b/>
          <w:bCs/>
          <w:color w:val="CC0000"/>
          <w:sz w:val="28"/>
          <w:szCs w:val="28"/>
          <w:lang w:eastAsia="cs-CZ"/>
        </w:rPr>
        <w:t>CO ?</w:t>
      </w:r>
      <w:proofErr w:type="gramEnd"/>
      <w:r w:rsidRPr="00550953">
        <w:rPr>
          <w:rFonts w:ascii="Calibri" w:eastAsia="Times New Roman" w:hAnsi="Calibri" w:cs="Times New Roman"/>
          <w:b/>
          <w:bCs/>
          <w:color w:val="CC0000"/>
          <w:sz w:val="28"/>
          <w:szCs w:val="28"/>
          <w:lang w:eastAsia="cs-CZ"/>
        </w:rPr>
        <w:t xml:space="preserve"> </w:t>
      </w:r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0"/>
        <w:gridCol w:w="7938"/>
      </w:tblGrid>
      <w:tr w:rsidR="00A05F86" w:rsidRPr="00550953" w:rsidTr="005C52BF">
        <w:trPr>
          <w:trHeight w:val="570"/>
        </w:trPr>
        <w:tc>
          <w:tcPr>
            <w:tcW w:w="2870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Způsob přespání</w:t>
            </w:r>
          </w:p>
        </w:tc>
        <w:tc>
          <w:tcPr>
            <w:tcW w:w="7938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D21839" w:rsidP="00A05F86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Stan, Celta, Pod širákem</w:t>
            </w:r>
          </w:p>
          <w:p w:rsidR="00A05F86" w:rsidRPr="00550953" w:rsidRDefault="00A05F86" w:rsidP="00A05F86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05F86" w:rsidRPr="00550953" w:rsidTr="005C52BF">
        <w:trPr>
          <w:trHeight w:val="570"/>
        </w:trPr>
        <w:tc>
          <w:tcPr>
            <w:tcW w:w="2870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Rozdělávání ohně</w:t>
            </w:r>
          </w:p>
        </w:tc>
        <w:tc>
          <w:tcPr>
            <w:tcW w:w="7938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D21839" w:rsidP="00A05F86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Na přilehlé louce</w:t>
            </w:r>
            <w:r w:rsidR="001C47A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, je tam i ohniště</w:t>
            </w:r>
          </w:p>
          <w:p w:rsidR="00A05F86" w:rsidRPr="00550953" w:rsidRDefault="00A05F86" w:rsidP="00A05F86">
            <w:pPr>
              <w:spacing w:after="0" w:line="0" w:lineRule="atLeast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05F86" w:rsidRPr="00550953" w:rsidTr="005C52BF">
        <w:trPr>
          <w:trHeight w:val="570"/>
        </w:trPr>
        <w:tc>
          <w:tcPr>
            <w:tcW w:w="2870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Zdroj pitné vody</w:t>
            </w:r>
          </w:p>
        </w:tc>
        <w:tc>
          <w:tcPr>
            <w:tcW w:w="7938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8337C4" w:rsidRPr="00550953" w:rsidRDefault="00D21839" w:rsidP="001C47A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V nedaleké skautské základně cca </w:t>
            </w:r>
            <w:r w:rsidR="001C47A4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1km dojde se tam po žluté značce a na zpevněné cestě se dáte vpravo</w:t>
            </w:r>
          </w:p>
        </w:tc>
      </w:tr>
      <w:tr w:rsidR="00A05F86" w:rsidRPr="00550953" w:rsidTr="005C52BF">
        <w:trPr>
          <w:trHeight w:val="570"/>
        </w:trPr>
        <w:tc>
          <w:tcPr>
            <w:tcW w:w="2870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Možnost koupání</w:t>
            </w:r>
          </w:p>
        </w:tc>
        <w:tc>
          <w:tcPr>
            <w:tcW w:w="7938" w:type="dxa"/>
            <w:tcBorders>
              <w:top w:val="single" w:sz="18" w:space="0" w:color="CC0000"/>
              <w:left w:val="single" w:sz="18" w:space="0" w:color="CC0000"/>
              <w:bottom w:val="single" w:sz="18" w:space="0" w:color="CC0000"/>
              <w:right w:val="single" w:sz="18" w:space="0" w:color="CC000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1C47A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U tábořiště teče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Ploučnice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.</w:t>
            </w:r>
          </w:p>
          <w:p w:rsidR="008337C4" w:rsidRPr="00550953" w:rsidRDefault="008337C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b/>
          <w:bCs/>
          <w:color w:val="CC9900"/>
          <w:sz w:val="28"/>
          <w:szCs w:val="28"/>
          <w:lang w:eastAsia="cs-CZ"/>
        </w:rPr>
      </w:pPr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proofErr w:type="gramStart"/>
      <w:r w:rsidRPr="00550953">
        <w:rPr>
          <w:rFonts w:ascii="Calibri" w:eastAsia="Times New Roman" w:hAnsi="Calibri" w:cs="Times New Roman"/>
          <w:b/>
          <w:bCs/>
          <w:color w:val="CC9900"/>
          <w:sz w:val="28"/>
          <w:szCs w:val="28"/>
          <w:lang w:eastAsia="cs-CZ"/>
        </w:rPr>
        <w:t>JAK</w:t>
      </w:r>
      <w:r w:rsidR="009B20A6" w:rsidRPr="00550953">
        <w:rPr>
          <w:rFonts w:ascii="Calibri" w:eastAsia="Times New Roman" w:hAnsi="Calibri" w:cs="Times New Roman"/>
          <w:b/>
          <w:bCs/>
          <w:color w:val="CC9900"/>
          <w:sz w:val="28"/>
          <w:szCs w:val="28"/>
          <w:lang w:eastAsia="cs-CZ"/>
        </w:rPr>
        <w:t xml:space="preserve"> </w:t>
      </w:r>
      <w:r w:rsidRPr="00550953">
        <w:rPr>
          <w:rFonts w:ascii="Calibri" w:eastAsia="Times New Roman" w:hAnsi="Calibri" w:cs="Times New Roman"/>
          <w:b/>
          <w:bCs/>
          <w:color w:val="CC9900"/>
          <w:sz w:val="28"/>
          <w:szCs w:val="28"/>
          <w:lang w:eastAsia="cs-CZ"/>
        </w:rPr>
        <w:t>?</w:t>
      </w:r>
      <w:proofErr w:type="gramEnd"/>
      <w:r w:rsidRPr="00550953">
        <w:rPr>
          <w:rFonts w:ascii="Calibri" w:eastAsia="Times New Roman" w:hAnsi="Calibri" w:cs="Times New Roman"/>
          <w:color w:val="CC9900"/>
          <w:sz w:val="28"/>
          <w:szCs w:val="28"/>
          <w:lang w:eastAsia="cs-CZ"/>
        </w:rPr>
        <w:t xml:space="preserve"> </w:t>
      </w:r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6"/>
        <w:gridCol w:w="7512"/>
      </w:tblGrid>
      <w:tr w:rsidR="00A05F86" w:rsidRPr="00550953" w:rsidTr="00483F1D">
        <w:trPr>
          <w:trHeight w:val="565"/>
        </w:trPr>
        <w:tc>
          <w:tcPr>
            <w:tcW w:w="3296" w:type="dxa"/>
            <w:tcBorders>
              <w:top w:val="single" w:sz="18" w:space="0" w:color="FFD320"/>
              <w:left w:val="single" w:sz="18" w:space="0" w:color="FFD320"/>
              <w:bottom w:val="single" w:sz="18" w:space="0" w:color="FFD320"/>
              <w:right w:val="single" w:sz="18" w:space="0" w:color="FFD32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A05F86" w:rsidP="005C52B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Nejbližší vhodná zastávka</w:t>
            </w:r>
          </w:p>
        </w:tc>
        <w:tc>
          <w:tcPr>
            <w:tcW w:w="7512" w:type="dxa"/>
            <w:tcBorders>
              <w:top w:val="single" w:sz="18" w:space="0" w:color="FFD320"/>
              <w:left w:val="single" w:sz="18" w:space="0" w:color="FFD320"/>
              <w:bottom w:val="single" w:sz="18" w:space="0" w:color="FFD320"/>
              <w:right w:val="single" w:sz="18" w:space="0" w:color="FFD32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1C47A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Ralsko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 xml:space="preserve">, Hradčany </w:t>
            </w:r>
          </w:p>
          <w:p w:rsidR="008337C4" w:rsidRPr="00550953" w:rsidRDefault="008337C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  <w:tr w:rsidR="00A05F86" w:rsidRPr="00550953" w:rsidTr="00483F1D">
        <w:trPr>
          <w:trHeight w:val="565"/>
        </w:trPr>
        <w:tc>
          <w:tcPr>
            <w:tcW w:w="3296" w:type="dxa"/>
            <w:tcBorders>
              <w:top w:val="single" w:sz="18" w:space="0" w:color="FFD320"/>
              <w:left w:val="single" w:sz="18" w:space="0" w:color="FFD320"/>
              <w:bottom w:val="single" w:sz="18" w:space="0" w:color="FFD320"/>
              <w:right w:val="single" w:sz="18" w:space="0" w:color="FFD32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vAlign w:val="center"/>
            <w:hideMark/>
          </w:tcPr>
          <w:p w:rsidR="00A05F86" w:rsidRPr="00550953" w:rsidRDefault="008337C4" w:rsidP="005C52BF">
            <w:pPr>
              <w:spacing w:after="0" w:line="0" w:lineRule="atLeast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 w:rsidRPr="00550953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Doporučená trasa</w:t>
            </w:r>
          </w:p>
        </w:tc>
        <w:tc>
          <w:tcPr>
            <w:tcW w:w="7512" w:type="dxa"/>
            <w:tcBorders>
              <w:top w:val="single" w:sz="18" w:space="0" w:color="FFD320"/>
              <w:left w:val="single" w:sz="18" w:space="0" w:color="FFD320"/>
              <w:bottom w:val="single" w:sz="18" w:space="0" w:color="FFD320"/>
              <w:right w:val="single" w:sz="18" w:space="0" w:color="FFD320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Pr="00550953" w:rsidRDefault="001C47A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Od zastávky až na louku po žluté turistické značce. Následně se vydáte vpravo podél lesa.</w:t>
            </w:r>
          </w:p>
          <w:p w:rsidR="008337C4" w:rsidRPr="00550953" w:rsidRDefault="008337C4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</w:tr>
    </w:tbl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color w:val="000099"/>
          <w:sz w:val="28"/>
          <w:szCs w:val="28"/>
          <w:lang w:eastAsia="cs-CZ"/>
        </w:rPr>
      </w:pPr>
    </w:p>
    <w:p w:rsidR="00A05F86" w:rsidRPr="00550953" w:rsidRDefault="009B20A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proofErr w:type="gramStart"/>
      <w:r w:rsidRPr="00550953">
        <w:rPr>
          <w:rFonts w:ascii="Calibri" w:eastAsia="Times New Roman" w:hAnsi="Calibri" w:cs="Times New Roman"/>
          <w:b/>
          <w:bCs/>
          <w:color w:val="000099"/>
          <w:sz w:val="28"/>
          <w:szCs w:val="28"/>
          <w:lang w:eastAsia="cs-CZ"/>
        </w:rPr>
        <w:t>PROČ</w:t>
      </w:r>
      <w:r w:rsidR="00A05F86" w:rsidRPr="00550953">
        <w:rPr>
          <w:rFonts w:ascii="Calibri" w:eastAsia="Times New Roman" w:hAnsi="Calibri" w:cs="Times New Roman"/>
          <w:b/>
          <w:bCs/>
          <w:color w:val="000099"/>
          <w:sz w:val="28"/>
          <w:szCs w:val="28"/>
          <w:lang w:eastAsia="cs-CZ"/>
        </w:rPr>
        <w:t xml:space="preserve"> ?</w:t>
      </w:r>
      <w:proofErr w:type="gramEnd"/>
    </w:p>
    <w:p w:rsidR="00A05F86" w:rsidRPr="00550953" w:rsidRDefault="00A05F86" w:rsidP="00A05F8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8"/>
      </w:tblGrid>
      <w:tr w:rsidR="00A05F86" w:rsidRPr="00550953" w:rsidTr="00550953">
        <w:trPr>
          <w:trHeight w:val="3219"/>
        </w:trPr>
        <w:tc>
          <w:tcPr>
            <w:tcW w:w="10808" w:type="dxa"/>
            <w:tcBorders>
              <w:top w:val="single" w:sz="18" w:space="0" w:color="0000CC"/>
              <w:left w:val="single" w:sz="18" w:space="0" w:color="0000CC"/>
              <w:bottom w:val="single" w:sz="18" w:space="0" w:color="0000CC"/>
              <w:right w:val="single" w:sz="18" w:space="0" w:color="0000CC"/>
            </w:tcBorders>
            <w:shd w:val="clear" w:color="auto" w:fill="FFFFFF"/>
            <w:tcMar>
              <w:top w:w="55" w:type="dxa"/>
              <w:left w:w="35" w:type="dxa"/>
              <w:bottom w:w="55" w:type="dxa"/>
              <w:right w:w="55" w:type="dxa"/>
            </w:tcMar>
            <w:hideMark/>
          </w:tcPr>
          <w:p w:rsidR="00A05F86" w:rsidRDefault="005B18B6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 xml:space="preserve">Toto místo je navštívit v teplém počasí </w:t>
            </w:r>
            <w:r w:rsidRPr="005B18B6"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sym w:font="Wingdings" w:char="F04A"/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 xml:space="preserve">. Na tomto místě se dají pořádat i vetší akce (středisko). Také se na tomto místě pořádají LT. Na tábořišti jsou schované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TeePee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 xml:space="preserve"> tyče.</w:t>
            </w:r>
          </w:p>
          <w:p w:rsidR="005B18B6" w:rsidRPr="00550953" w:rsidRDefault="005B18B6" w:rsidP="00A05F86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cs-CZ"/>
              </w:rPr>
              <w:t>Tuto místo je prostě super.</w:t>
            </w:r>
          </w:p>
        </w:tc>
      </w:tr>
    </w:tbl>
    <w:p w:rsidR="00E20B43" w:rsidRPr="00550953" w:rsidRDefault="00E20B43" w:rsidP="00483F1D">
      <w:pPr>
        <w:rPr>
          <w:rFonts w:ascii="Calibri" w:hAnsi="Calibri"/>
          <w:b/>
          <w:color w:val="984806" w:themeColor="accent6" w:themeShade="80"/>
          <w:sz w:val="28"/>
          <w:szCs w:val="28"/>
        </w:rPr>
      </w:pPr>
    </w:p>
    <w:tbl>
      <w:tblPr>
        <w:tblStyle w:val="Mkatabulky"/>
        <w:tblW w:w="0" w:type="auto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12" w:space="0" w:color="984806" w:themeColor="accent6" w:themeShade="80"/>
          <w:insideV w:val="single" w:sz="12" w:space="0" w:color="984806" w:themeColor="accent6" w:themeShade="80"/>
        </w:tblBorders>
        <w:tblLook w:val="04A0"/>
      </w:tblPr>
      <w:tblGrid>
        <w:gridCol w:w="1384"/>
        <w:gridCol w:w="9529"/>
      </w:tblGrid>
      <w:tr w:rsidR="00E20B43" w:rsidRPr="00550953" w:rsidTr="00550953">
        <w:trPr>
          <w:trHeight w:val="542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18" w:space="0" w:color="984806" w:themeColor="accent6" w:themeShade="80"/>
            </w:tcBorders>
            <w:vAlign w:val="center"/>
          </w:tcPr>
          <w:p w:rsidR="00E20B43" w:rsidRPr="00550953" w:rsidRDefault="00E20B43" w:rsidP="00E20B43">
            <w:pPr>
              <w:rPr>
                <w:rFonts w:ascii="Calibri" w:hAnsi="Calibri"/>
                <w:b/>
                <w:color w:val="984806" w:themeColor="accent6" w:themeShade="80"/>
                <w:sz w:val="28"/>
                <w:szCs w:val="28"/>
              </w:rPr>
            </w:pPr>
            <w:proofErr w:type="gramStart"/>
            <w:r w:rsidRPr="00550953">
              <w:rPr>
                <w:rFonts w:ascii="Calibri" w:hAnsi="Calibri"/>
                <w:b/>
                <w:color w:val="984806" w:themeColor="accent6" w:themeShade="80"/>
                <w:sz w:val="28"/>
                <w:szCs w:val="28"/>
              </w:rPr>
              <w:lastRenderedPageBreak/>
              <w:t>KDO ?</w:t>
            </w:r>
            <w:proofErr w:type="gramEnd"/>
          </w:p>
        </w:tc>
        <w:tc>
          <w:tcPr>
            <w:tcW w:w="9529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E20B43" w:rsidRPr="001C47A4" w:rsidRDefault="001C47A4" w:rsidP="00483F1D">
            <w:pPr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1C47A4">
              <w:rPr>
                <w:rFonts w:ascii="Calibri" w:hAnsi="Calibri"/>
                <w:sz w:val="28"/>
                <w:szCs w:val="28"/>
              </w:rPr>
              <w:t>Filipíno</w:t>
            </w:r>
            <w:proofErr w:type="spellEnd"/>
            <w:r>
              <w:rPr>
                <w:rFonts w:ascii="Calibri" w:hAnsi="Calibri"/>
                <w:sz w:val="28"/>
                <w:szCs w:val="28"/>
              </w:rPr>
              <w:t>,</w:t>
            </w:r>
            <w:r w:rsidRPr="001C47A4">
              <w:rPr>
                <w:rFonts w:ascii="Calibri" w:hAnsi="Calibri"/>
                <w:sz w:val="28"/>
                <w:szCs w:val="28"/>
              </w:rPr>
              <w:t xml:space="preserve"> 773 947 719</w:t>
            </w:r>
          </w:p>
        </w:tc>
      </w:tr>
    </w:tbl>
    <w:p w:rsidR="009E3EB5" w:rsidRDefault="009E3EB5" w:rsidP="00483F1D">
      <w:pPr>
        <w:rPr>
          <w:rFonts w:ascii="Calibri" w:hAnsi="Calibri"/>
          <w:b/>
          <w:sz w:val="28"/>
          <w:szCs w:val="28"/>
        </w:rPr>
      </w:pPr>
    </w:p>
    <w:p w:rsidR="00F4018A" w:rsidRPr="00550953" w:rsidRDefault="0036008E" w:rsidP="00483F1D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550953">
        <w:rPr>
          <w:rFonts w:ascii="Calibri" w:hAnsi="Calibri"/>
          <w:b/>
          <w:sz w:val="28"/>
          <w:szCs w:val="28"/>
        </w:rPr>
        <w:t>Vysvětlivky a návod k vyplnění: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Tábořiště – napiš název, může být ten, který používáte v oddíle, nebo obecný název místa</w:t>
      </w:r>
      <w:r w:rsidR="008E33A0" w:rsidRPr="00550953">
        <w:rPr>
          <w:rFonts w:ascii="Calibri" w:hAnsi="Calibri"/>
          <w:sz w:val="28"/>
          <w:szCs w:val="28"/>
        </w:rPr>
        <w:t xml:space="preserve"> (např. Měsíční skála, rybník </w:t>
      </w:r>
      <w:proofErr w:type="spellStart"/>
      <w:r w:rsidR="008E33A0" w:rsidRPr="00550953">
        <w:rPr>
          <w:rFonts w:ascii="Calibri" w:hAnsi="Calibri"/>
          <w:sz w:val="28"/>
          <w:szCs w:val="28"/>
        </w:rPr>
        <w:t>Kočkov</w:t>
      </w:r>
      <w:proofErr w:type="spellEnd"/>
      <w:r w:rsidR="008E33A0" w:rsidRPr="00550953">
        <w:rPr>
          <w:rFonts w:ascii="Calibri" w:hAnsi="Calibri"/>
          <w:sz w:val="28"/>
          <w:szCs w:val="28"/>
        </w:rPr>
        <w:t>)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 xml:space="preserve">GPS souřadnice – ve formátu </w:t>
      </w:r>
      <w:proofErr w:type="gramStart"/>
      <w:r w:rsidR="008E33A0" w:rsidRPr="00550953">
        <w:rPr>
          <w:rFonts w:ascii="Calibri" w:hAnsi="Calibri"/>
          <w:sz w:val="28"/>
          <w:szCs w:val="28"/>
        </w:rPr>
        <w:t>12.345</w:t>
      </w:r>
      <w:r w:rsidRPr="00550953">
        <w:rPr>
          <w:rFonts w:ascii="Calibri" w:hAnsi="Calibri"/>
          <w:sz w:val="28"/>
          <w:szCs w:val="28"/>
        </w:rPr>
        <w:t xml:space="preserve"> N</w:t>
      </w:r>
      <w:r w:rsidR="008E33A0" w:rsidRPr="00550953">
        <w:rPr>
          <w:rFonts w:ascii="Calibri" w:hAnsi="Calibri"/>
          <w:sz w:val="28"/>
          <w:szCs w:val="28"/>
        </w:rPr>
        <w:t>(S)</w:t>
      </w:r>
      <w:r w:rsidRPr="00550953">
        <w:rPr>
          <w:rFonts w:ascii="Calibri" w:hAnsi="Calibri"/>
          <w:sz w:val="28"/>
          <w:szCs w:val="28"/>
        </w:rPr>
        <w:t xml:space="preserve">, </w:t>
      </w:r>
      <w:r w:rsidR="008E33A0" w:rsidRPr="00550953">
        <w:rPr>
          <w:rFonts w:ascii="Calibri" w:hAnsi="Calibri"/>
          <w:sz w:val="28"/>
          <w:szCs w:val="28"/>
        </w:rPr>
        <w:t>67.890</w:t>
      </w:r>
      <w:proofErr w:type="gramEnd"/>
      <w:r w:rsidRPr="00550953">
        <w:rPr>
          <w:rFonts w:ascii="Calibri" w:hAnsi="Calibri"/>
          <w:sz w:val="28"/>
          <w:szCs w:val="28"/>
        </w:rPr>
        <w:t xml:space="preserve"> E</w:t>
      </w:r>
      <w:r w:rsidR="008E33A0" w:rsidRPr="00550953">
        <w:rPr>
          <w:rFonts w:ascii="Calibri" w:hAnsi="Calibri"/>
          <w:sz w:val="28"/>
          <w:szCs w:val="28"/>
        </w:rPr>
        <w:t>(V) nebo 12°34'56,7"N(S), 23°45'67,8"(E)V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 xml:space="preserve">Kraj / okres – podle standardního </w:t>
      </w:r>
      <w:r w:rsidR="008E33A0" w:rsidRPr="00550953">
        <w:rPr>
          <w:rFonts w:ascii="Calibri" w:hAnsi="Calibri"/>
          <w:sz w:val="28"/>
          <w:szCs w:val="28"/>
        </w:rPr>
        <w:t xml:space="preserve">samosprávného územního </w:t>
      </w:r>
      <w:r w:rsidRPr="00550953">
        <w:rPr>
          <w:rFonts w:ascii="Calibri" w:hAnsi="Calibri"/>
          <w:sz w:val="28"/>
          <w:szCs w:val="28"/>
        </w:rPr>
        <w:t>členění ČR</w:t>
      </w:r>
      <w:r w:rsidR="008E33A0" w:rsidRPr="00550953">
        <w:rPr>
          <w:rFonts w:ascii="Calibri" w:hAnsi="Calibri"/>
          <w:sz w:val="28"/>
          <w:szCs w:val="28"/>
        </w:rPr>
        <w:t xml:space="preserve"> (např. Jihočeský/Písek)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Mapka – může být jako vložený obrázek stažený z </w:t>
      </w:r>
      <w:r w:rsidR="008E33A0" w:rsidRPr="00550953">
        <w:rPr>
          <w:rFonts w:ascii="Calibri" w:hAnsi="Calibri"/>
          <w:sz w:val="28"/>
          <w:szCs w:val="28"/>
        </w:rPr>
        <w:t>map</w:t>
      </w:r>
      <w:r w:rsidRPr="00550953">
        <w:rPr>
          <w:rFonts w:ascii="Calibri" w:hAnsi="Calibri"/>
          <w:sz w:val="28"/>
          <w:szCs w:val="28"/>
        </w:rPr>
        <w:t xml:space="preserve"> </w:t>
      </w:r>
      <w:r w:rsidR="008E33A0" w:rsidRPr="00550953">
        <w:rPr>
          <w:rFonts w:ascii="Calibri" w:hAnsi="Calibri"/>
          <w:sz w:val="28"/>
          <w:szCs w:val="28"/>
        </w:rPr>
        <w:t xml:space="preserve">na internetu </w:t>
      </w:r>
      <w:r w:rsidRPr="00550953">
        <w:rPr>
          <w:rFonts w:ascii="Calibri" w:hAnsi="Calibri"/>
          <w:sz w:val="28"/>
          <w:szCs w:val="28"/>
        </w:rPr>
        <w:t>nebo ručně kreslená, rozhodně má obsahovat měřítko a být dostatečně podrobná, aby bylo možné podle ní místo bez problémů najít</w:t>
      </w:r>
      <w:r w:rsidR="008838CE" w:rsidRPr="00550953">
        <w:rPr>
          <w:rFonts w:ascii="Calibri" w:hAnsi="Calibri"/>
          <w:sz w:val="28"/>
          <w:szCs w:val="28"/>
        </w:rPr>
        <w:t xml:space="preserve"> a přitom má zahrnovat dostat</w:t>
      </w:r>
      <w:r w:rsidR="008E33A0" w:rsidRPr="00550953">
        <w:rPr>
          <w:rFonts w:ascii="Calibri" w:hAnsi="Calibri"/>
          <w:sz w:val="28"/>
          <w:szCs w:val="28"/>
        </w:rPr>
        <w:t>ečně velké území,</w:t>
      </w:r>
      <w:r w:rsidR="00663244" w:rsidRPr="00550953">
        <w:rPr>
          <w:rFonts w:ascii="Calibri" w:hAnsi="Calibri"/>
          <w:sz w:val="28"/>
          <w:szCs w:val="28"/>
        </w:rPr>
        <w:t xml:space="preserve"> aby bylo možné mapu správně ztotožnit do běžné turistické mapy padesátky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 xml:space="preserve">Kapacita – pro kolik osob je možné tábořiště </w:t>
      </w:r>
      <w:r w:rsidR="008838CE" w:rsidRPr="00550953">
        <w:rPr>
          <w:rFonts w:ascii="Calibri" w:hAnsi="Calibri"/>
          <w:sz w:val="28"/>
          <w:szCs w:val="28"/>
        </w:rPr>
        <w:t xml:space="preserve">bez problémů </w:t>
      </w:r>
      <w:r w:rsidRPr="00550953">
        <w:rPr>
          <w:rFonts w:ascii="Calibri" w:hAnsi="Calibri"/>
          <w:sz w:val="28"/>
          <w:szCs w:val="28"/>
        </w:rPr>
        <w:t>použít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Popis blízkého okolí – např. louky na hry, skály, neprostupné lesy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Zajímavosti v širším okolí – např. hrad, zámek</w:t>
      </w:r>
      <w:r w:rsidR="00663244" w:rsidRPr="00550953">
        <w:rPr>
          <w:rFonts w:ascii="Calibri" w:hAnsi="Calibri"/>
          <w:sz w:val="28"/>
          <w:szCs w:val="28"/>
        </w:rPr>
        <w:t>, rozhledna</w:t>
      </w:r>
    </w:p>
    <w:p w:rsidR="009B20A6" w:rsidRPr="00550953" w:rsidRDefault="009B20A6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 xml:space="preserve">Co je v mapě jinak než v realitě – 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Způsob přespání – např. skalní převis, vzrostlý rovný les, volně přístupná jeskyně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Rozdělání ohně – zda je možné na místě rozdělávat oheň nebo je oblast v nějakém zvláštním režimu (např. CHKO), zda je v okolí možnost sběru dřeva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Zdroj pitné vody – kde a jak je možné získat pitnou vodu (např. nutné přinést, studánka, domorodci v nedaleké vesnici, kohoutek na nádraží)</w:t>
      </w:r>
    </w:p>
    <w:p w:rsidR="0036008E" w:rsidRPr="00550953" w:rsidRDefault="0036008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 xml:space="preserve">Možnost koupání – zda je možné se v okolí </w:t>
      </w:r>
      <w:r w:rsidR="008838CE" w:rsidRPr="00550953">
        <w:rPr>
          <w:rFonts w:ascii="Calibri" w:hAnsi="Calibri"/>
          <w:sz w:val="28"/>
          <w:szCs w:val="28"/>
        </w:rPr>
        <w:t>umýt, koupat</w:t>
      </w:r>
    </w:p>
    <w:p w:rsidR="008838CE" w:rsidRPr="00550953" w:rsidRDefault="008838C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 xml:space="preserve">Nejbližší vhodná zastávka – zastávka vlaku, autobusu nebo přívozu, která je reálně využitelná </w:t>
      </w:r>
      <w:r w:rsidR="00663244" w:rsidRPr="00550953">
        <w:rPr>
          <w:rFonts w:ascii="Calibri" w:hAnsi="Calibri"/>
          <w:sz w:val="28"/>
          <w:szCs w:val="28"/>
        </w:rPr>
        <w:t xml:space="preserve">při víkendové výpravě </w:t>
      </w:r>
      <w:r w:rsidRPr="00550953">
        <w:rPr>
          <w:rFonts w:ascii="Calibri" w:hAnsi="Calibri"/>
          <w:sz w:val="28"/>
          <w:szCs w:val="28"/>
        </w:rPr>
        <w:t>(např. ne taková, kam jezdí jen příležitostné spoje ve svátky dvakrát do roka</w:t>
      </w:r>
      <w:r w:rsidR="00663244" w:rsidRPr="00550953">
        <w:rPr>
          <w:rFonts w:ascii="Calibri" w:hAnsi="Calibri"/>
          <w:sz w:val="28"/>
          <w:szCs w:val="28"/>
        </w:rPr>
        <w:t>, jen během letních prázdnin</w:t>
      </w:r>
      <w:r w:rsidRPr="00550953">
        <w:rPr>
          <w:rFonts w:ascii="Calibri" w:hAnsi="Calibri"/>
          <w:sz w:val="28"/>
          <w:szCs w:val="28"/>
        </w:rPr>
        <w:t>)</w:t>
      </w:r>
    </w:p>
    <w:p w:rsidR="008838CE" w:rsidRPr="00550953" w:rsidRDefault="008838C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Doporučená trasa – trasa od dopravního spoje, která je ověřená, prostupná, není nebezpečná</w:t>
      </w:r>
    </w:p>
    <w:p w:rsidR="008838CE" w:rsidRPr="00550953" w:rsidRDefault="008838CE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Proč – doporučení, proč je dobré na místo jet</w:t>
      </w:r>
      <w:r w:rsidR="008E33A0" w:rsidRPr="00550953">
        <w:rPr>
          <w:rFonts w:ascii="Calibri" w:hAnsi="Calibri"/>
          <w:sz w:val="28"/>
          <w:szCs w:val="28"/>
        </w:rPr>
        <w:t>,</w:t>
      </w:r>
      <w:r w:rsidRPr="00550953">
        <w:rPr>
          <w:rFonts w:ascii="Calibri" w:hAnsi="Calibri"/>
          <w:sz w:val="28"/>
          <w:szCs w:val="28"/>
        </w:rPr>
        <w:t xml:space="preserve"> přednosti tábořiště, rady a tipy pro přenocování, ale i varování, možná nebezpečí a rizika</w:t>
      </w:r>
    </w:p>
    <w:p w:rsidR="009B20A6" w:rsidRPr="00550953" w:rsidRDefault="009B20A6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Kdo – napiš prosím své jméno a pokud jsi ochoten občas zvednout telefon a odpovědět na dotaz někoho, kdo by na tvé tábořiště rád jel, napiš i telefon</w:t>
      </w:r>
    </w:p>
    <w:p w:rsidR="009B20A6" w:rsidRPr="00550953" w:rsidRDefault="009B20A6" w:rsidP="00483F1D">
      <w:pPr>
        <w:rPr>
          <w:rFonts w:ascii="Calibri" w:hAnsi="Calibri"/>
          <w:sz w:val="28"/>
          <w:szCs w:val="28"/>
        </w:rPr>
      </w:pPr>
    </w:p>
    <w:p w:rsidR="009B20A6" w:rsidRPr="00550953" w:rsidRDefault="009B20A6" w:rsidP="00483F1D">
      <w:pPr>
        <w:rPr>
          <w:rFonts w:ascii="Calibri" w:hAnsi="Calibri"/>
          <w:sz w:val="28"/>
          <w:szCs w:val="28"/>
        </w:rPr>
      </w:pPr>
      <w:r w:rsidRPr="00550953">
        <w:rPr>
          <w:rFonts w:ascii="Calibri" w:hAnsi="Calibri"/>
          <w:sz w:val="28"/>
          <w:szCs w:val="28"/>
        </w:rPr>
        <w:t>Pokud se ti během vyplňování formulář rozhodí, nijak se tím netrap, ještě proběhnou běžné korektury a předtiskové úpravy, důležitá jsou data ne grafická úprava</w:t>
      </w:r>
    </w:p>
    <w:sectPr w:rsidR="009B20A6" w:rsidRPr="00550953" w:rsidSect="00A05F86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5F86"/>
    <w:rsid w:val="00177394"/>
    <w:rsid w:val="001C47A4"/>
    <w:rsid w:val="00211B21"/>
    <w:rsid w:val="0036008E"/>
    <w:rsid w:val="00381002"/>
    <w:rsid w:val="0042024D"/>
    <w:rsid w:val="00483F1D"/>
    <w:rsid w:val="004A1A2A"/>
    <w:rsid w:val="00550953"/>
    <w:rsid w:val="005B18B6"/>
    <w:rsid w:val="005C52BF"/>
    <w:rsid w:val="00663244"/>
    <w:rsid w:val="008337C4"/>
    <w:rsid w:val="008838CE"/>
    <w:rsid w:val="008E33A0"/>
    <w:rsid w:val="009B20A6"/>
    <w:rsid w:val="009E3EB5"/>
    <w:rsid w:val="00A05F86"/>
    <w:rsid w:val="00A73369"/>
    <w:rsid w:val="00B177F8"/>
    <w:rsid w:val="00D21839"/>
    <w:rsid w:val="00DF399A"/>
    <w:rsid w:val="00E20B43"/>
    <w:rsid w:val="00F12D37"/>
    <w:rsid w:val="00F4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399A"/>
  </w:style>
  <w:style w:type="paragraph" w:styleId="Nadpis1">
    <w:name w:val="heading 1"/>
    <w:basedOn w:val="Normln"/>
    <w:link w:val="Nadpis1Char"/>
    <w:uiPriority w:val="9"/>
    <w:qFormat/>
    <w:rsid w:val="00381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2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3810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2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97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8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05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5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23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61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117">
          <w:marLeft w:val="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F3E0-D216-4B84-B61C-795F6969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Dubská Jana</dc:creator>
  <cp:lastModifiedBy>Filip Šimůnek</cp:lastModifiedBy>
  <cp:revision>5</cp:revision>
  <dcterms:created xsi:type="dcterms:W3CDTF">2017-06-05T11:11:00Z</dcterms:created>
  <dcterms:modified xsi:type="dcterms:W3CDTF">2017-06-05T12:05:00Z</dcterms:modified>
</cp:coreProperties>
</file>