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rFonts w:ascii="Spectral" w:cs="Spectral" w:eastAsia="Spectral" w:hAnsi="Spectral"/>
          <w:b w:val="1"/>
          <w:sz w:val="40"/>
          <w:szCs w:val="40"/>
        </w:rPr>
      </w:pPr>
      <w:bookmarkStart w:colFirst="0" w:colLast="0" w:name="_ji33r8tc2h0d" w:id="0"/>
      <w:bookmarkEnd w:id="0"/>
      <w:r w:rsidDel="00000000" w:rsidR="00000000" w:rsidRPr="00000000">
        <w:rPr>
          <w:rFonts w:ascii="Spectral" w:cs="Spectral" w:eastAsia="Spectral" w:hAnsi="Spectral"/>
          <w:sz w:val="28"/>
          <w:szCs w:val="28"/>
          <w:rtl w:val="0"/>
        </w:rPr>
        <w:t xml:space="preserve">katedra</w:t>
      </w: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sz w:val="40"/>
          <w:szCs w:val="40"/>
          <w:rtl w:val="0"/>
        </w:rPr>
        <w:t xml:space="preserve">KOMUNIKACE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Na starosti ji má Kulich, Kaktus, Eso a Mike.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Kompetence katedry:</w:t>
      </w:r>
    </w:p>
    <w:tbl>
      <w:tblPr>
        <w:tblStyle w:val="Table1"/>
        <w:tblW w:w="690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6420"/>
        <w:tblGridChange w:id="0">
          <w:tblGrid>
            <w:gridCol w:w="480"/>
            <w:gridCol w:w="642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Váží si a prožívá hodnotné a přetrvávající mezilidské vztahy a přátelství. Vede k tomu členy oddílu vytvořením vhodných podmínek i vlastním příkladem.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Uvědomuješ si, jak tvé chování ovlivňuje vztahy mezi členy oddílu navzájem?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Vytváříš v oddíle bezpečné prostředí? Co to pro tebe znamená?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Přizpůsobuje komunikaci osobě, s níž mluví (dítě, rodič, úředník...), a situaci, v níž se nachází.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Dovedeš rodiči nováčka srozumitelně vysvětlit, jak vypadá váš táborový den?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705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v čem se liší výklad pravidel hry vlčatům/světluškám a skautům/skautkám?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Pokud vznikne konflikt, snaží se zachovat tak, aby konflikt vyústil v řešení přijatelné pro všechny strany.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jak předcházet konfliktům v oddíle?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Daří se ti úspěšně řešit konflikty v oddíle?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Komunikuje slušně a vstřícně, diskutuje věcně a konstruktivně. Cíleně kultivuje komunikaci členů oddílu.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Dokážeš plynule a srozumitelně předat svoji myšlenku?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Ovládáš vědomě svoje ruce, oči, kroucení se?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Používáte v oddíle nadávky? Proč ne? Proč jo?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Má přehled o informačních zdrojích, které jako vedoucí oddílu potřebuje, a adekvátně je využívá.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Znáš 3 skautské informační zdroje?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jak přidat nováčka ve Skautisu?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vyhledávat a ověřovat informace z několika zdrojů, se kterými pracuje a které jsou pro něho užitečné.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Kolik informací se ztratí, když spolu komunikujeme jen přes messenger?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52425" cy="647700"/>
                  <wp:effectExtent b="0" l="0" r="0" t="0"/>
                  <wp:wrapSquare wrapText="bothSides" distB="0" distT="0" distL="0" distR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708.6614173228347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Jaké jsou tvoje informace?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42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zorganizovat nábor, ví při tom, jaká jsou specifika náborů v jeho městě/ lokalitě (rozdíl mezi velkým městem a maloměstem ...).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Zná různé formy náborů; ví, jaké jsou výhody a nevýhody jednotlivých typů.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Ví, jak nábor zacílit na věkovou kategorii, kterou chce získat.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Spectral" w:cs="Spectral" w:eastAsia="Spectral" w:hAnsi="Spectr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4"/>
                <w:szCs w:val="24"/>
                <w:rtl w:val="0"/>
              </w:rPr>
              <w:t xml:space="preserve">Dokáže popsat specifika práce s nováčky.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0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Jak bys při organizaci náboru postupoval/a?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28575</wp:posOffset>
                  </wp:positionV>
                  <wp:extent cx="349378" cy="644408"/>
                  <wp:effectExtent b="0" l="0" r="0" t="0"/>
                  <wp:wrapSquare wrapText="bothSides" distB="0" distT="0" distL="0" distR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8" cy="6444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0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Čím bys rodiče a nováčky oslovil, abys je zaujal/a?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0" w:right="-65.19685039370131" w:firstLine="0"/>
              <w:rPr>
                <w:rFonts w:ascii="Spectral" w:cs="Spectral" w:eastAsia="Spectral" w:hAnsi="Spectral"/>
                <w:sz w:val="24"/>
                <w:szCs w:val="24"/>
              </w:rPr>
            </w:pPr>
            <w:r w:rsidDel="00000000" w:rsidR="00000000" w:rsidRPr="00000000">
              <w:rPr>
                <w:rFonts w:ascii="Spectral" w:cs="Spectral" w:eastAsia="Spectral" w:hAnsi="Spectral"/>
                <w:sz w:val="24"/>
                <w:szCs w:val="24"/>
                <w:rtl w:val="0"/>
              </w:rPr>
              <w:t xml:space="preserve">Víš, jak zapojit nováčka do oddílového života?</w:t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bych se chtěl/a věnovat já jako vůdce/ vůdkyně oddílu?</w:t>
      </w:r>
    </w:p>
    <w:p w:rsidR="00000000" w:rsidDel="00000000" w:rsidP="00000000" w:rsidRDefault="00000000" w:rsidRPr="00000000" w14:paraId="00000032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566.9291338582684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sz w:val="24"/>
          <w:szCs w:val="24"/>
          <w:rtl w:val="0"/>
        </w:rPr>
        <w:t xml:space="preserve">Kterým z témat této katedry se na kurzu věnovat nepotřebuji (jsem v nich už dostatečně dobrý/á, nezajímají mě, …)?</w:t>
      </w:r>
    </w:p>
    <w:p w:rsidR="00000000" w:rsidDel="00000000" w:rsidP="00000000" w:rsidRDefault="00000000" w:rsidRPr="00000000" w14:paraId="0000003A">
      <w:pPr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1.811023622048" w:top="1133.8582677165355" w:left="850.3937007874016" w:right="608.385826771655" w:header="720" w:footer="720"/>
      <w:pgNumType w:start="1"/>
      <w:cols w:equalWidth="0" w:num="2">
        <w:col w:space="1277.85" w:w="7050.58"/>
        <w:col w:space="0" w:w="7050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